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PRIVATE RESIDENTIAL TENANCY AGREEMENT</w:t>
      </w:r>
    </w:p>
    <w:p>
      <w:pPr>
        <w:jc w:val="center"/>
      </w:pPr>
      <w:r>
        <w:rPr>
          <w:b/>
          <w:sz w:val="24"/>
        </w:rPr>
        <w:t>Scotland</w:t>
      </w:r>
    </w:p>
    <w:p>
      <w:pPr>
        <w:jc w:val="center"/>
      </w:pPr>
      <w:r>
        <w:rPr>
          <w:b/>
        </w:rPr>
        <w:t>Rent: £650 per calendar month</w:t>
      </w:r>
    </w:p>
    <w:p>
      <w:r>
        <w:t>This agreement is intended for use as a Private Residential Tenancy (PRT) in Scotland. The landlord must also provide the tenant with the information and documents required by Scottish law, including the applicable statutory tenancy terms and prescribed information.</w:t>
      </w:r>
    </w:p>
    <w:p>
      <w:pPr>
        <w:pStyle w:val="Heading1"/>
      </w:pPr>
      <w:r>
        <w:t>1. Parties</w:t>
      </w:r>
    </w:p>
    <w:p>
      <w:r>
        <w:rPr>
          <w:b/>
        </w:rPr>
        <w:t xml:space="preserve">Landlord name: </w:t>
      </w:r>
      <w:r>
        <w:t>______________________________________________________________</w:t>
      </w:r>
    </w:p>
    <w:p>
      <w:r>
        <w:rPr>
          <w:b/>
        </w:rPr>
        <w:t xml:space="preserve">Landlord address: </w:t>
      </w:r>
      <w:r>
        <w:t>______________________________________________________________</w:t>
      </w:r>
    </w:p>
    <w:p>
      <w:r>
        <w:rPr>
          <w:b/>
        </w:rPr>
        <w:t xml:space="preserve">Landlord registration number (if applicable): </w:t>
      </w:r>
      <w:r>
        <w:t>______________________________________________________________</w:t>
      </w:r>
    </w:p>
    <w:p>
      <w:r>
        <w:rPr>
          <w:b/>
        </w:rPr>
        <w:t xml:space="preserve">Tenant name(s): </w:t>
      </w:r>
      <w:r>
        <w:t>______________________________________________________________</w:t>
      </w:r>
    </w:p>
    <w:p>
      <w:pPr>
        <w:pStyle w:val="Heading1"/>
      </w:pPr>
      <w:r>
        <w:t>2. Let Property</w:t>
      </w:r>
    </w:p>
    <w:p>
      <w:r>
        <w:rPr>
          <w:b/>
        </w:rPr>
        <w:t xml:space="preserve">Property address: </w:t>
      </w:r>
      <w:r>
        <w:t>______________________________________________________________</w:t>
      </w:r>
    </w:p>
    <w:p>
      <w:r>
        <w:rPr>
          <w:b/>
        </w:rPr>
        <w:t xml:space="preserve">The let property includes: </w:t>
      </w:r>
      <w:r>
        <w:t>the dwelling and any fixtures, fittings, furnishings, garden, parking space or other areas specifically included in the inventory or agreed in writing.</w:t>
      </w:r>
    </w:p>
    <w:p>
      <w:pPr>
        <w:pStyle w:val="Heading1"/>
      </w:pPr>
      <w:r>
        <w:t>3. Start Date and Duration</w:t>
      </w:r>
    </w:p>
    <w:p>
      <w:r>
        <w:rPr>
          <w:b/>
        </w:rPr>
        <w:t xml:space="preserve">Tenancy start date: </w:t>
      </w:r>
      <w:r>
        <w:t>______________________________________________________________</w:t>
      </w:r>
    </w:p>
    <w:p>
      <w:r>
        <w:t>The tenancy will begin on the date stated above and will continue until ended in accordance with the Private Housing (Tenancies) (Scotland) Act 2016 and any other applicable law. It is not a fixed-term tenancy.</w:t>
      </w:r>
    </w:p>
    <w:p>
      <w:pPr>
        <w:pStyle w:val="Heading1"/>
      </w:pPr>
      <w:r>
        <w:t>4. Rent</w:t>
      </w:r>
    </w:p>
    <w:p>
      <w:r>
        <w:t>The rent is £650 (six hundred and fifty pounds) per calendar month, payable monthly in advance.</w:t>
      </w:r>
    </w:p>
    <w:p>
      <w:r>
        <w:rPr>
          <w:b/>
        </w:rPr>
        <w:t xml:space="preserve">Rent payment due date: </w:t>
      </w:r>
      <w:r>
        <w:t>______________________________________________________________</w:t>
      </w:r>
    </w:p>
    <w:p>
      <w:r>
        <w:rPr>
          <w:b/>
        </w:rPr>
        <w:t xml:space="preserve">Payment method / bank details: </w:t>
      </w:r>
      <w:r>
        <w:t>______________________________________________________________</w:t>
      </w:r>
    </w:p>
    <w:p>
      <w:r>
        <w:t>Any lawful increase in rent must be made using the procedure and notice required by Scottish law.</w:t>
      </w:r>
    </w:p>
    <w:p>
      <w:pPr>
        <w:pStyle w:val="Heading1"/>
      </w:pPr>
      <w:r>
        <w:t>5. Deposit</w:t>
      </w:r>
    </w:p>
    <w:p>
      <w:r>
        <w:rPr>
          <w:b/>
        </w:rPr>
        <w:t xml:space="preserve">Deposit amount: </w:t>
      </w:r>
      <w:r>
        <w:t>______________________________________________________________</w:t>
      </w:r>
    </w:p>
    <w:p>
      <w:r>
        <w:rPr>
          <w:b/>
        </w:rPr>
        <w:t xml:space="preserve">Approved tenancy deposit scheme: </w:t>
      </w:r>
      <w:r>
        <w:t>______________________________________________________________</w:t>
      </w:r>
    </w:p>
    <w:p>
      <w:r>
        <w:t>Any tenancy deposit taken must be lodged with an approved Scottish tenancy deposit scheme within the legally required timescale, and the tenant must be given the required information.</w:t>
      </w:r>
    </w:p>
    <w:p>
      <w:pPr>
        <w:pStyle w:val="Heading1"/>
      </w:pPr>
      <w:r>
        <w:t>6. Use of the Property</w:t>
      </w:r>
    </w:p>
    <w:p>
      <w:r>
        <w:t>The property is to be occupied as the tenant's main home. The tenant must not use the property for illegal or improper purposes, cause nuisance or antisocial behaviour, or allow the property to become overcrowded.</w:t>
      </w:r>
    </w:p>
    <w:p>
      <w:pPr>
        <w:pStyle w:val="Heading1"/>
      </w:pPr>
      <w:r>
        <w:t>7. Occupants and Subletting</w:t>
      </w:r>
    </w:p>
    <w:p>
      <w:r>
        <w:t>The tenant must not assign the tenancy, sublet the property, take in a lodger, or otherwise give up possession of all or part of the property without any consent required from the landlord and subject to the tenant's statutory rights.</w:t>
      </w:r>
    </w:p>
    <w:p>
      <w:pPr>
        <w:pStyle w:val="Heading1"/>
      </w:pPr>
      <w:r>
        <w:t>8. Repairs, Condition and Care</w:t>
      </w:r>
    </w:p>
    <w:p>
      <w:r>
        <w:t>The landlord is responsible for meeting the Repairing Standard and other legal repair obligations. The tenant must take reasonable care of the property, keep it reasonably clean, promptly report repairs or damage, and not deliberately or negligently damage the property or its contents.</w:t>
      </w:r>
    </w:p>
    <w:p>
      <w:pPr>
        <w:pStyle w:val="Heading1"/>
      </w:pPr>
      <w:r>
        <w:t>9. Alterations and Decoration</w:t>
      </w:r>
    </w:p>
    <w:p>
      <w:r>
        <w:t>The tenant must obtain any consent required before making material alterations, additions or significant changes to the property. Nothing in this clause removes any statutory right the tenant may have to request changes or adaptations.</w:t>
      </w:r>
    </w:p>
    <w:p>
      <w:pPr>
        <w:pStyle w:val="Heading1"/>
      </w:pPr>
      <w:r>
        <w:t>10. Utilities, Council Tax and Other Charges</w:t>
      </w:r>
    </w:p>
    <w:p>
      <w:r>
        <w:t>Unless otherwise agreed in writing, the tenant is responsible for council tax and for charges relating to gas, electricity, water (where separately charged), telephone, broadband, television licence and other services used at the property.</w:t>
      </w:r>
    </w:p>
    <w:p>
      <w:pPr>
        <w:pStyle w:val="Heading1"/>
      </w:pPr>
      <w:r>
        <w:t>11. Access</w:t>
      </w:r>
    </w:p>
    <w:p>
      <w:r>
        <w:t>The landlord or an authorised person may require access for inspections, repairs, valuations, safety checks or other lawful purposes. Except in an emergency or where otherwise permitted by law, reasonable notice must be given in accordance with the tenancy terms and Scottish law.</w:t>
      </w:r>
    </w:p>
    <w:p>
      <w:pPr>
        <w:pStyle w:val="Heading1"/>
      </w:pPr>
      <w:r>
        <w:t>12. Insurance and Personal Belongings</w:t>
      </w:r>
    </w:p>
    <w:p>
      <w:r>
        <w:t>The landlord is responsible for any insurance they are legally or contractually required to maintain for the building. The tenant is responsible for insuring their own belongings if they wish to do so.</w:t>
      </w:r>
    </w:p>
    <w:p>
      <w:pPr>
        <w:pStyle w:val="Heading1"/>
      </w:pPr>
      <w:r>
        <w:t>13. Pets</w:t>
      </w:r>
    </w:p>
    <w:p>
      <w:r>
        <w:rPr>
          <w:b/>
        </w:rPr>
        <w:t xml:space="preserve">Agreed pet arrangements (if any): </w:t>
      </w:r>
      <w:r>
        <w:t>______________________________________________________________</w:t>
      </w:r>
    </w:p>
    <w:p>
      <w:r>
        <w:t>Any request to keep a pet will be considered in accordance with the tenancy terms and applicable Scottish law. Any agreed conditions should be recorded in writing.</w:t>
      </w:r>
    </w:p>
    <w:p>
      <w:pPr>
        <w:pStyle w:val="Heading1"/>
      </w:pPr>
      <w:r>
        <w:t>14. Smoking</w:t>
      </w:r>
    </w:p>
    <w:p>
      <w:r>
        <w:rPr>
          <w:b/>
        </w:rPr>
        <w:t xml:space="preserve">Smoking arrangements / restrictions (if any): </w:t>
      </w:r>
      <w:r>
        <w:t>______________________________________________________________</w:t>
      </w:r>
    </w:p>
    <w:p>
      <w:pPr>
        <w:pStyle w:val="Heading1"/>
      </w:pPr>
      <w:r>
        <w:t>15. Ending the Tenancy</w:t>
      </w:r>
    </w:p>
    <w:p>
      <w:r>
        <w:t>The tenant may end the tenancy by giving the landlord the notice required by law. The landlord may only end the tenancy using a lawful eviction ground and the correct notice and procedure. The parties cannot contract out of the tenant's statutory protections.</w:t>
      </w:r>
    </w:p>
    <w:p>
      <w:pPr>
        <w:pStyle w:val="Heading1"/>
      </w:pPr>
      <w:r>
        <w:t>16. Inventory and Condition Report</w:t>
      </w:r>
    </w:p>
    <w:p>
      <w:r>
        <w:t>Where an inventory and condition report is provided, it should be checked by the tenant at the start of the tenancy. Any agreed inventory or condition report forms part of the tenancy record.</w:t>
      </w:r>
    </w:p>
    <w:p>
      <w:pPr>
        <w:pStyle w:val="Heading1"/>
      </w:pPr>
      <w:r>
        <w:t>17. Additional Terms</w:t>
      </w:r>
    </w:p>
    <w:p>
      <w:r>
        <w:t>_______________________________________________________________________________________________</w:t>
      </w:r>
    </w:p>
    <w:p>
      <w:r>
        <w:t>_______________________________________________________________________________________________</w:t>
      </w:r>
    </w:p>
    <w:p>
      <w:r>
        <w:t>_______________________________________________________________________________________________</w:t>
      </w:r>
    </w:p>
    <w:p>
      <w:pPr>
        <w:pStyle w:val="Heading1"/>
      </w:pPr>
      <w:r>
        <w:t>18. Statutory Terms Prevail</w:t>
      </w:r>
    </w:p>
    <w:p>
      <w:r>
        <w:t>If any term in this agreement conflicts with a mandatory provision of Scottish housing law, the mandatory legal provision will prevail. This agreement should be read together with all statutory terms and prescribed information that apply to a Scottish Private Residential Tenancy.</w:t>
      </w:r>
    </w:p>
    <w:p>
      <w:pPr>
        <w:pStyle w:val="Heading1"/>
      </w:pPr>
      <w:r>
        <w:t>Signatures</w:t>
      </w:r>
    </w:p>
    <w:p>
      <w:r>
        <w:t>By signing below, the parties acknowledge the tenancy and the terms recorded in this agreement, subject always to the tenant's and landlord's statutory rights and obligations.</w:t>
      </w:r>
    </w:p>
    <w:tbl>
      <w:tblPr>
        <w:tblStyle w:val="TableGrid"/>
        <w:tblW w:type="auto" w:w="0"/>
        <w:jc w:val="center"/>
        <w:tblLook w:firstColumn="1" w:firstRow="1" w:lastColumn="0" w:lastRow="0" w:noHBand="0" w:noVBand="1" w:val="04A0"/>
      </w:tblPr>
      <w:tblGrid>
        <w:gridCol w:w="4968"/>
        <w:gridCol w:w="4968"/>
      </w:tblGrid>
      <w:tr>
        <w:tc>
          <w:tcPr>
            <w:tcW w:type="dxa" w:w="4968"/>
            <w:vAlign w:val="center"/>
          </w:tcPr>
          <w:p>
            <w:r>
              <w:t>Landlord signature</w:t>
            </w:r>
          </w:p>
        </w:tc>
        <w:tc>
          <w:tcPr>
            <w:tcW w:type="dxa" w:w="4968"/>
            <w:vAlign w:val="center"/>
          </w:tcPr>
          <w:p>
            <w:r>
              <w:t>Tenant signature</w:t>
            </w:r>
          </w:p>
        </w:tc>
      </w:tr>
      <w:tr>
        <w:tc>
          <w:tcPr>
            <w:tcW w:type="dxa" w:w="4968"/>
            <w:vAlign w:val="center"/>
          </w:tcPr>
          <w:p>
            <w:r>
              <w:t>____________________________</w:t>
            </w:r>
          </w:p>
        </w:tc>
        <w:tc>
          <w:tcPr>
            <w:tcW w:type="dxa" w:w="4968"/>
            <w:vAlign w:val="center"/>
          </w:tcPr>
          <w:p>
            <w:r>
              <w:t>____________________________</w:t>
            </w:r>
          </w:p>
        </w:tc>
      </w:tr>
      <w:tr>
        <w:tc>
          <w:tcPr>
            <w:tcW w:type="dxa" w:w="4968"/>
            <w:vAlign w:val="center"/>
          </w:tcPr>
          <w:p>
            <w:r>
              <w:t>Print name: __________________</w:t>
            </w:r>
          </w:p>
        </w:tc>
        <w:tc>
          <w:tcPr>
            <w:tcW w:type="dxa" w:w="4968"/>
            <w:vAlign w:val="center"/>
          </w:tcPr>
          <w:p>
            <w:r>
              <w:t>Print name: __________________</w:t>
            </w:r>
          </w:p>
        </w:tc>
      </w:tr>
      <w:tr>
        <w:tc>
          <w:tcPr>
            <w:tcW w:type="dxa" w:w="4968"/>
            <w:vAlign w:val="center"/>
          </w:tcPr>
          <w:p>
            <w:r>
              <w:t>Date: ________________________</w:t>
            </w:r>
          </w:p>
        </w:tc>
        <w:tc>
          <w:tcPr>
            <w:tcW w:type="dxa" w:w="4968"/>
            <w:vAlign w:val="center"/>
          </w:tcPr>
          <w:p>
            <w:r>
              <w:t>Date: ________________________</w:t>
            </w:r>
          </w:p>
        </w:tc>
      </w:tr>
    </w:tbl>
    <w:p/>
    <w:p>
      <w:r>
        <w:rPr>
          <w:b/>
        </w:rPr>
        <w:t xml:space="preserve">Important: </w:t>
      </w:r>
      <w:r>
        <w:t>This template is a practical agreement, not legal advice. Scottish PRTs have mandatory statutory terms and landlord compliance requirements. Before signing, the landlord should ensure the agreement and accompanying documents are current and suitable for the property.</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